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B068A3">
              <w:rPr>
                <w:rFonts w:ascii="Tahoma" w:hAnsi="Tahoma" w:cs="Tahoma"/>
                <w:b/>
                <w:sz w:val="20"/>
                <w:szCs w:val="20"/>
              </w:rPr>
              <w:t>20-024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F12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13</w:t>
            </w:r>
            <w:r w:rsidR="00B068A3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2609A9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10 Month </w:t>
            </w:r>
            <w:r w:rsidR="00B068A3">
              <w:rPr>
                <w:rFonts w:ascii="Tahoma" w:hAnsi="Tahoma" w:cs="Tahoma"/>
                <w:sz w:val="20"/>
                <w:szCs w:val="20"/>
              </w:rPr>
              <w:t>Permanent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2, 2020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73A01" w:rsidRPr="00923A1A" w:rsidRDefault="00B068A3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1.65 EFT Positions could be a 1.0 EFT and .65 EFT or 2 part time positions – please identify EFT you are looking for</w:t>
            </w:r>
          </w:p>
          <w:p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:rsidR="002609A9" w:rsidRPr="002609A9" w:rsidRDefault="002609A9" w:rsidP="002609A9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:rsidR="002609A9" w:rsidRPr="002609A9" w:rsidRDefault="002609A9" w:rsidP="002609A9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Rehabilitation Centre for Children requires PHYSIOTHERAPISTS who will provide therapy services to school aged children in schools in Winnipeg</w:t>
      </w:r>
      <w:r w:rsidR="00B068A3">
        <w:rPr>
          <w:rFonts w:ascii="Tahoma" w:hAnsi="Tahoma" w:cs="Tahoma"/>
          <w:color w:val="000000"/>
          <w:spacing w:val="-8"/>
          <w:sz w:val="20"/>
          <w:szCs w:val="20"/>
        </w:rPr>
        <w:t xml:space="preserve"> and outside Winnipeg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. </w:t>
      </w:r>
    </w:p>
    <w:p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Physiotherapist utilizes advanced skills and knowledge and performs at a high level of independence as a clinical practitioner, consultant and educator.  Practices are in accordance with RCC policy and professional standards. This includes: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:rsidR="00373A01" w:rsidRPr="002609A9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923A1A" w:rsidRPr="002609A9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Degree in Physiotherapy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Licensure by the College of Physiotherapists of Manitoba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Excellent interpersonal skills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Physical fitness for lifting and bending and handling clients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Advanced written and verbal communication skills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physiotherapy is preferred</w:t>
      </w:r>
    </w:p>
    <w:p w:rsidR="002609A9" w:rsidRPr="002609A9" w:rsidRDefault="002609A9" w:rsidP="002609A9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2609A9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373A01" w:rsidRPr="002609A9" w:rsidRDefault="00373A01" w:rsidP="002609A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F12683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20, 2020</w:t>
            </w:r>
          </w:p>
        </w:tc>
      </w:tr>
    </w:tbl>
    <w:p w:rsidR="00373A01" w:rsidRDefault="00373A01">
      <w:bookmarkStart w:id="0" w:name="_GoBack"/>
      <w:bookmarkEnd w:id="0"/>
    </w:p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611A28"/>
    <w:rsid w:val="00703E8D"/>
    <w:rsid w:val="007941EC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068A3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12683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2020-06-23T19:33:00Z</cp:lastPrinted>
  <dcterms:created xsi:type="dcterms:W3CDTF">2020-07-13T17:54:00Z</dcterms:created>
  <dcterms:modified xsi:type="dcterms:W3CDTF">2020-07-13T17:58:00Z</dcterms:modified>
</cp:coreProperties>
</file>